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3C13" w:rsidRPr="00575A4B" w:rsidRDefault="00223C13" w:rsidP="005034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75A4B">
        <w:rPr>
          <w:rFonts w:ascii="Times New Roman" w:hAnsi="Times New Roman"/>
          <w:b/>
          <w:sz w:val="36"/>
          <w:szCs w:val="36"/>
        </w:rPr>
        <w:t>ПАМЯТКА</w:t>
      </w:r>
    </w:p>
    <w:p w:rsidR="00223C13" w:rsidRPr="00575A4B" w:rsidRDefault="00223C13" w:rsidP="0050349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aps/>
          <w:kern w:val="36"/>
          <w:sz w:val="36"/>
          <w:szCs w:val="36"/>
          <w:lang w:eastAsia="ru-RU"/>
        </w:rPr>
      </w:pPr>
      <w:r w:rsidRPr="00575A4B">
        <w:rPr>
          <w:rFonts w:ascii="Times New Roman" w:hAnsi="Times New Roman"/>
          <w:b/>
          <w:caps/>
          <w:kern w:val="36"/>
          <w:sz w:val="36"/>
          <w:szCs w:val="36"/>
          <w:lang w:eastAsia="ru-RU"/>
        </w:rPr>
        <w:t>ПО ОКАЗАНИЮ БЕСПЛАТНОЙ ЮРИДИЧЕСКОЙ ПОМОЩИ ГРАЖДАНАМ РОССИЙСКОЙ ФЕДЕРАЦИИ НА ТЕРРИТОРИИ КУРГАНСКОЙ ОБЛАСТИ</w:t>
      </w:r>
    </w:p>
    <w:p w:rsidR="00223C13" w:rsidRPr="00575A4B" w:rsidRDefault="00223C13" w:rsidP="0050349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caps/>
          <w:kern w:val="36"/>
          <w:sz w:val="24"/>
          <w:szCs w:val="24"/>
          <w:lang w:eastAsia="ru-RU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  <w:r w:rsidRPr="00575A4B">
        <w:rPr>
          <w:color w:val="auto"/>
          <w:kern w:val="36"/>
        </w:rPr>
        <w:t xml:space="preserve">Оказание бесплатной юридической помощи гражданам Российской Федерации </w:t>
      </w:r>
      <w:r w:rsidRPr="00575A4B">
        <w:rPr>
          <w:color w:val="auto"/>
        </w:rPr>
        <w:t>регламентируетсяФедеральным законом «О бесплатной юридической помощи в Российской Федерации» от 21.11.2011 N 324-ФЗи </w:t>
      </w:r>
      <w:r w:rsidRPr="00575A4B">
        <w:rPr>
          <w:color w:val="auto"/>
          <w:shd w:val="clear" w:color="auto" w:fill="FFFFFF"/>
        </w:rPr>
        <w:t>Законом Курганской области от 6 марта 2012 года № 6 «О бесплатной юридической помощи гражданам Российской Федерации на территории Курганской области».</w:t>
      </w: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A30B4E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223C13" w:rsidRPr="00575A4B" w:rsidRDefault="00223C13" w:rsidP="00211199">
      <w:pPr>
        <w:tabs>
          <w:tab w:val="left" w:pos="16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75A4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Список категорий лиц, имеющих право </w:t>
      </w:r>
    </w:p>
    <w:p w:rsidR="00223C13" w:rsidRPr="00575A4B" w:rsidRDefault="00223C13" w:rsidP="00211199">
      <w:pPr>
        <w:tabs>
          <w:tab w:val="left" w:pos="16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75A4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 бесплатную юридическую помощь согласно перечисленным законам: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1) граждане, среднедушевой доход семей которых ниже величины прожиточного минимума, установленного в Курганской области, либо одиноко проживающие граждане, доходы которых ниже величины прожиточного минимума;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2) инвалиды I и II группы;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</w:t>
      </w:r>
      <w:r w:rsidRPr="00575A4B">
        <w:rPr>
          <w:b/>
          <w:bCs/>
        </w:rPr>
        <w:t>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</w:r>
      <w:r w:rsidRPr="00575A4B">
        <w:t>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 xml:space="preserve">5) лица, желающие принять на воспитание в свою семью ребенка, оставшегося без попечения родителей, </w:t>
      </w:r>
      <w:r w:rsidRPr="00575A4B">
        <w:rPr>
          <w:b/>
          <w:bCs/>
        </w:rPr>
        <w:t>если они обращаются за оказанием бесплатной юридической помощи по вопросам, связанным с устройством ребенка на воспитание в семью</w:t>
      </w:r>
      <w:r w:rsidRPr="00575A4B">
        <w:t>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6) 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 xml:space="preserve">8) 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</w:t>
      </w:r>
      <w:r w:rsidRPr="00575A4B">
        <w:rPr>
          <w:b/>
          <w:bCs/>
        </w:rPr>
        <w:t xml:space="preserve">по вопросам, связанным с обеспечением и защитой прав и законных интересов таких несовершеннолетних </w:t>
      </w:r>
      <w:r w:rsidRPr="00575A4B">
        <w:t>(за исключением вопросов, связанных с оказанием юридической помощи в уголовном судопроизводстве;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9)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11) граждане, пострадавшие в результате чрезвычайной ситуации: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дети погибшего (умершего) в результате чрезвычайной ситуации;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родители погибшего (умершего) в результате чрезвычайной ситуации;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граждане, здоровью которых причинен вред в результате чрезвычайной ситуации;</w:t>
      </w:r>
    </w:p>
    <w:p w:rsidR="00223C13" w:rsidRPr="00575A4B" w:rsidRDefault="00223C13" w:rsidP="00575A4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t>- 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23C13" w:rsidRPr="00575A4B" w:rsidRDefault="00223C13" w:rsidP="00575A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3"/>
          <w:szCs w:val="23"/>
          <w:lang w:eastAsia="ru-RU"/>
        </w:rPr>
      </w:pPr>
      <w:r w:rsidRPr="00575A4B">
        <w:rPr>
          <w:rFonts w:ascii="Times New Roman" w:hAnsi="Times New Roman"/>
          <w:sz w:val="23"/>
          <w:szCs w:val="23"/>
          <w:lang w:eastAsia="ru-RU"/>
        </w:rPr>
        <w:t>12) граждане, направляемые для оказания бесплатной юридической помощи  уполномоченным по правам человека в Курганской области, уполномоченным по правам ребенка в Курганской области;</w:t>
      </w:r>
    </w:p>
    <w:p w:rsidR="00223C13" w:rsidRPr="00575A4B" w:rsidRDefault="00223C13" w:rsidP="00575A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3"/>
          <w:szCs w:val="23"/>
          <w:lang w:eastAsia="ru-RU"/>
        </w:rPr>
      </w:pPr>
      <w:r w:rsidRPr="00575A4B">
        <w:rPr>
          <w:rFonts w:ascii="Times New Roman" w:hAnsi="Times New Roman"/>
          <w:sz w:val="23"/>
          <w:szCs w:val="23"/>
          <w:lang w:eastAsia="ru-RU"/>
        </w:rPr>
        <w:t>12.1) граждане, денежные средства которых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Курганской области, а также граждане, денежные средства которых привлечены для строительства многоквартирных домов на территории Курганской области и права которых нарушены, включенные в реестр пострадавших граждан, если они обращаются по вопросам, связанным с восстановлением их прав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223C13" w:rsidRPr="00575A4B" w:rsidRDefault="00223C13" w:rsidP="00575A4B">
      <w:pPr>
        <w:pStyle w:val="ConsPlusNormal"/>
        <w:ind w:firstLine="708"/>
        <w:jc w:val="both"/>
      </w:pPr>
      <w:r w:rsidRPr="00575A4B">
        <w:t>12.2) граждане, призванные на военную службу по мобилизации или заключившие в соответствии с пунктом 7 статьи 38 Федерального закона от 28 марта 1998 года N 53-ФЗ "О воинской обязанности и военной службе"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а также члены их семей (родители, супруг (супруга), несовершеннолетние дети) со дня мобилизации гражданина (заключения контракта), а также в течение трех лет со дня увольнения с военной службы или завершения прохождения военной службы по мобилизации либо контракта о добровольном содействии в выполнении задач, возложенных на Вооруженные Силы Российской Федерации;</w:t>
      </w:r>
      <w:r>
        <w:t xml:space="preserve"> </w:t>
      </w:r>
    </w:p>
    <w:p w:rsidR="00223C13" w:rsidRPr="00575A4B" w:rsidRDefault="00223C13" w:rsidP="00575A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3"/>
          <w:szCs w:val="23"/>
          <w:lang w:eastAsia="ru-RU"/>
        </w:rPr>
      </w:pPr>
      <w:r w:rsidRPr="00575A4B">
        <w:rPr>
          <w:rFonts w:ascii="Times New Roman" w:hAnsi="Times New Roman"/>
          <w:sz w:val="23"/>
          <w:szCs w:val="23"/>
          <w:lang w:eastAsia="ru-RU"/>
        </w:rPr>
        <w:t>13)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законами.</w:t>
      </w:r>
    </w:p>
    <w:p w:rsidR="00223C13" w:rsidRDefault="00223C13" w:rsidP="005034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575A4B">
        <w:rPr>
          <w:shd w:val="clear" w:color="auto" w:fill="FFFFFF"/>
        </w:rPr>
        <w:t xml:space="preserve">В Курганской области перечисленным категориям граждан бесплатная юридическая помощь оказывается органами исполнительной власти в виде правового консультирования в устной и письменной форме </w:t>
      </w:r>
      <w:r w:rsidRPr="00575A4B">
        <w:rPr>
          <w:b/>
          <w:bCs/>
          <w:shd w:val="clear" w:color="auto" w:fill="FFFFFF"/>
        </w:rPr>
        <w:t>по вопросам, относящимся к их компетенции.</w:t>
      </w:r>
      <w:r>
        <w:rPr>
          <w:b/>
          <w:bCs/>
          <w:shd w:val="clear" w:color="auto" w:fill="FFFFFF"/>
        </w:rPr>
        <w:t xml:space="preserve"> </w:t>
      </w:r>
      <w:r w:rsidRPr="00575A4B">
        <w:rPr>
          <w:shd w:val="clear" w:color="auto" w:fill="FFFFFF"/>
        </w:rPr>
        <w:t>Для получения бесплатной юридической помощи граждане могут обратиться непосредственно в любой из органов исполнительной власти Курганской области и подведомственные им учреждения или направить письменное обращение посредством почтовой связи или электронной почты.</w:t>
      </w:r>
    </w:p>
    <w:p w:rsidR="00223C13" w:rsidRPr="00575A4B" w:rsidRDefault="00223C13" w:rsidP="005034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</w:p>
    <w:p w:rsidR="00223C13" w:rsidRPr="00575A4B" w:rsidRDefault="00223C13" w:rsidP="006C14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b/>
          <w:bCs/>
          <w:sz w:val="23"/>
          <w:szCs w:val="23"/>
          <w:bdr w:val="none" w:sz="0" w:space="0" w:color="auto" w:frame="1"/>
        </w:rPr>
      </w:pPr>
      <w:r w:rsidRPr="00575A4B">
        <w:rPr>
          <w:rFonts w:ascii="Trebuchet MS" w:hAnsi="Trebuchet MS"/>
        </w:rPr>
        <w:t> 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ОРГАНЫ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ИСПОЛНИТЕЛЬНОЙ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ВЛАСТИ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КУРГАНСКОЙ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ОБЛАСТИ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, </w:t>
      </w:r>
    </w:p>
    <w:p w:rsidR="00223C13" w:rsidRPr="00575A4B" w:rsidRDefault="00223C13" w:rsidP="006C14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/>
          <w:sz w:val="23"/>
          <w:szCs w:val="23"/>
        </w:rPr>
      </w:pP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ВХОДЯЩИЕ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В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ГОСУДАРСТВЕННУЮ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СИСТЕМУ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БЕСПЛАТНОЙ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ЮРИДИЧЕСКОЙ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ПОМОЩИ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НА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ТЕРРИТОРИИ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КУРГАНСКОЙ</w:t>
      </w: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</w:rPr>
        <w:t xml:space="preserve"> </w:t>
      </w:r>
      <w:r w:rsidRPr="00575A4B">
        <w:rPr>
          <w:rFonts w:ascii="inherit" w:hAnsi="inherit" w:hint="eastAsia"/>
          <w:b/>
          <w:bCs/>
          <w:sz w:val="23"/>
          <w:szCs w:val="23"/>
          <w:bdr w:val="none" w:sz="0" w:space="0" w:color="auto" w:frame="1"/>
        </w:rPr>
        <w:t>ОБЛАСТИ</w:t>
      </w:r>
    </w:p>
    <w:p w:rsidR="00223C13" w:rsidRPr="00575A4B" w:rsidRDefault="00223C13" w:rsidP="006C143F">
      <w:pPr>
        <w:shd w:val="clear" w:color="auto" w:fill="FFFFFF"/>
        <w:spacing w:after="0" w:line="240" w:lineRule="auto"/>
        <w:textAlignment w:val="baseline"/>
        <w:rPr>
          <w:rFonts w:ascii="Trebuchet MS" w:hAnsi="Trebuchet MS"/>
          <w:sz w:val="23"/>
          <w:szCs w:val="23"/>
          <w:lang w:eastAsia="ru-RU"/>
        </w:rPr>
      </w:pPr>
      <w:r w:rsidRPr="00575A4B">
        <w:rPr>
          <w:rFonts w:ascii="inherit" w:hAnsi="inherit"/>
          <w:b/>
          <w:bCs/>
          <w:sz w:val="23"/>
          <w:szCs w:val="23"/>
          <w:bdr w:val="none" w:sz="0" w:space="0" w:color="auto" w:frame="1"/>
          <w:lang w:eastAsia="ru-RU"/>
        </w:rPr>
        <w:t> </w:t>
      </w:r>
    </w:p>
    <w:tbl>
      <w:tblPr>
        <w:tblW w:w="10915" w:type="dxa"/>
        <w:jc w:val="center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6379"/>
        <w:gridCol w:w="4536"/>
      </w:tblGrid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4536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Адрес местонахождения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Правительство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Гоголя,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5F0D49">
                <w:rPr>
                  <w:rFonts w:ascii="Times New Roman" w:hAnsi="Times New Roman"/>
                  <w:sz w:val="20"/>
                  <w:szCs w:val="20"/>
                  <w:lang w:eastAsia="ru-RU"/>
                </w:rPr>
                <w:t>56, г</w:t>
              </w:r>
            </w:smartTag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. Курган, 640002,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агропромышленного комплекса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ул. Володарского, д. 65, стр. 1,г.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государственного регулирования цен и тарифов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640002, Курганская область, г. Курган, ул. Гоголя, д. 25</w:t>
            </w: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здравоохранения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ул. Томина, д. </w:t>
            </w:r>
            <w:smartTag w:uri="urn:schemas-microsoft-com:office:smarttags" w:element="metricconverter">
              <w:smartTagPr>
                <w:attr w:name="ProductID" w:val="49, г"/>
              </w:smartTagPr>
              <w:r w:rsidRPr="005F0D49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49, г</w:t>
              </w:r>
            </w:smartTag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имущественных и земельных отношений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40024, г"/>
              </w:smartTagPr>
              <w:r w:rsidRPr="005F0D49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640024, г</w:t>
              </w:r>
            </w:smartTag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ул. Гоголя, д. 56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информационных технологий и цифрового развития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ул. Гоголя,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5F0D49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56, г</w:t>
              </w:r>
            </w:smartTag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информационной и внутренней политики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ул. Гоголя, д. </w:t>
            </w:r>
            <w:smartTag w:uri="urn:schemas-microsoft-com:office:smarttags" w:element="metricconverter">
              <w:smartTagPr>
                <w:attr w:name="ProductID" w:val="56, г"/>
              </w:smartTagPr>
              <w:r w:rsidRPr="005F0D49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56, г</w:t>
              </w:r>
            </w:smartTag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образования и науки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35, г"/>
              </w:smartTagPr>
              <w:r w:rsidRPr="005F0D49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35, г</w:t>
              </w:r>
            </w:smartTag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природных ресурсов и охраны окружающей среды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F0D49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0D4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ул. Володарского, д. 65 стр. 1,г. Курган, </w:t>
            </w:r>
            <w:r w:rsidRPr="005F0D49">
              <w:rPr>
                <w:rFonts w:ascii="Times New Roman" w:hAnsi="Times New Roman"/>
                <w:sz w:val="20"/>
                <w:szCs w:val="20"/>
                <w:lang w:eastAsia="ru-RU"/>
              </w:rPr>
              <w:t>640020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строительства, госэкспертизы и жилищно-коммунального хозяйстваКурганской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ул. Кирова, д. 83,г. Курган, 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экономического развития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640002, Курганская область, г. Курган, ул. Гоголя, стр. 25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Главное управление по труду и занятости населения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М. Горького, д. </w:t>
            </w:r>
            <w:smartTag w:uri="urn:schemas-microsoft-com:office:smarttags" w:element="metricconverter">
              <w:smartTagPr>
                <w:attr w:name="ProductID" w:val="190, г"/>
              </w:smartTagPr>
              <w:r w:rsidRPr="006661B3">
                <w:rPr>
                  <w:rFonts w:ascii="Times New Roman" w:hAnsi="Times New Roman"/>
                  <w:sz w:val="20"/>
                  <w:szCs w:val="20"/>
                  <w:lang w:eastAsia="ru-RU"/>
                </w:rPr>
                <w:t>190, г</w:t>
              </w:r>
            </w:smartTag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Курган, </w:t>
            </w: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640006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Главное управление социальной защиты населения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Р. Зорге, д. </w:t>
            </w:r>
            <w:smartTag w:uri="urn:schemas-microsoft-com:office:smarttags" w:element="metricconverter">
              <w:smartTagPr>
                <w:attr w:name="ProductID" w:val="39, г"/>
              </w:smartTagPr>
              <w:r w:rsidRPr="006661B3">
                <w:rPr>
                  <w:rFonts w:ascii="Times New Roman" w:hAnsi="Times New Roman"/>
                  <w:sz w:val="20"/>
                  <w:szCs w:val="20"/>
                  <w:lang w:eastAsia="ru-RU"/>
                </w:rPr>
                <w:t>39,</w:t>
              </w: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Pr="006661B3">
                <w:rPr>
                  <w:rFonts w:ascii="Times New Roman" w:hAnsi="Times New Roman"/>
                  <w:sz w:val="20"/>
                  <w:szCs w:val="20"/>
                  <w:lang w:eastAsia="ru-RU"/>
                </w:rPr>
                <w:t>г</w:t>
              </w:r>
            </w:smartTag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Курган, </w:t>
            </w: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640003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ветеринарии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Володарского, д. 65, стр. 1,г. Курган, </w:t>
            </w: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640021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записи актов гражданского состояния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Советская, д. </w:t>
            </w:r>
            <w:smartTag w:uri="urn:schemas-microsoft-com:office:smarttags" w:element="metricconverter">
              <w:smartTagPr>
                <w:attr w:name="ProductID" w:val="98, г"/>
              </w:smartTagPr>
              <w:r w:rsidRPr="006661B3">
                <w:rPr>
                  <w:rFonts w:ascii="Times New Roman" w:hAnsi="Times New Roman"/>
                  <w:sz w:val="20"/>
                  <w:szCs w:val="20"/>
                  <w:lang w:eastAsia="ru-RU"/>
                </w:rPr>
                <w:t>98,</w:t>
              </w: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Pr="006661B3">
                <w:rPr>
                  <w:rFonts w:ascii="Times New Roman" w:hAnsi="Times New Roman"/>
                  <w:sz w:val="20"/>
                  <w:szCs w:val="20"/>
                  <w:lang w:eastAsia="ru-RU"/>
                </w:rPr>
                <w:t>г</w:t>
              </w:r>
            </w:smartTag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Курган, </w:t>
            </w: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tabs>
                <w:tab w:val="center" w:pos="5545"/>
                <w:tab w:val="left" w:pos="7395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культуры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6661B3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61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Гоголя, д. 30,г. Курган, </w:t>
            </w:r>
            <w:r w:rsidRPr="006661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640020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обеспечению деятельности мировых судей в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ул. Красина, д. 21,г. Курган, 640020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физической культуре и спорту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CF7506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75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640006, Курганская область, г. Курган, ул. Савельева, д. 5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Комитет по делам архивов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CF7506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40002, г"/>
              </w:smartTagPr>
              <w:r w:rsidRPr="00CF7506">
                <w:rPr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640002, г</w:t>
              </w:r>
            </w:smartTag>
            <w:r w:rsidRPr="00CF75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Курган, ул. Комсомольская, д. 39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Финансов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CF7506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75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Гоголя, д. 56,г. Курган, </w:t>
            </w:r>
            <w:r w:rsidRPr="00CF75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640002</w:t>
            </w:r>
          </w:p>
        </w:tc>
      </w:tr>
      <w:tr w:rsidR="00223C13" w:rsidRPr="00575A4B" w:rsidTr="0078225A">
        <w:trPr>
          <w:tblCellSpacing w:w="0" w:type="dxa"/>
          <w:jc w:val="center"/>
        </w:trPr>
        <w:tc>
          <w:tcPr>
            <w:tcW w:w="6379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575A4B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75A4B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Государственная жилищная инспекция Курганской области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23C13" w:rsidRPr="00CF7506" w:rsidRDefault="00223C13" w:rsidP="0078225A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75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Гоголя, д. 25,г. Курган, </w:t>
            </w:r>
            <w:r w:rsidRPr="00CF75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640002</w:t>
            </w:r>
          </w:p>
        </w:tc>
      </w:tr>
    </w:tbl>
    <w:p w:rsidR="00223C13" w:rsidRPr="00575A4B" w:rsidRDefault="00223C13" w:rsidP="006C14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A4B">
        <w:rPr>
          <w:rFonts w:ascii="Times New Roman" w:hAnsi="Times New Roman"/>
          <w:sz w:val="24"/>
          <w:szCs w:val="24"/>
          <w:shd w:val="clear" w:color="auto" w:fill="FFFFFF"/>
        </w:rPr>
        <w:t>Информация о телефонах, электронной почте и графике работы органов исполнительной власти Курганской области и подведомственных им учреждений размещена на официальных сайтах органов исполнительной власти Курганской области в информационно-телекоммуникационной сети «Интернет».</w:t>
      </w:r>
    </w:p>
    <w:p w:rsidR="00223C13" w:rsidRPr="00575A4B" w:rsidRDefault="00223C13" w:rsidP="00A30B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5A4B">
        <w:rPr>
          <w:rFonts w:ascii="Times New Roman" w:hAnsi="Times New Roman"/>
          <w:sz w:val="24"/>
          <w:szCs w:val="24"/>
          <w:lang w:eastAsia="ru-RU"/>
        </w:rPr>
        <w:t xml:space="preserve">Оказание гражданам бесплатной юридической помощи также осуществляется </w:t>
      </w:r>
      <w:r w:rsidRPr="00575A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адвокатами </w:t>
      </w:r>
      <w:r w:rsidRPr="00CF7506">
        <w:rPr>
          <w:rFonts w:ascii="Times New Roman" w:hAnsi="Times New Roman"/>
          <w:bCs/>
          <w:sz w:val="24"/>
          <w:szCs w:val="24"/>
          <w:lang w:eastAsia="ru-RU"/>
        </w:rPr>
        <w:t>Адвокатской палаты Курганской област</w:t>
      </w:r>
      <w:r w:rsidRPr="00CF7506">
        <w:rPr>
          <w:rFonts w:ascii="Times New Roman" w:hAnsi="Times New Roman"/>
          <w:sz w:val="24"/>
          <w:szCs w:val="24"/>
          <w:lang w:eastAsia="ru-RU"/>
        </w:rPr>
        <w:t xml:space="preserve">и на всей территории Курганской области. Список адвокатов, оказывающих бесплатную юридическую помощь в Курганской области, размещен на официальном сайте Правительства Курганской области в разделе «Общество» (подраздел «Бесплатная юридическая помощь»), а также на сайте Адвокатской палаты Курганской области. Адрес Адвокатской палаты Курганской области: Курганская область, г. Курган, ул. Кирова, д. 60. Сотовый телефон горячей линии: 229-200. Применительно к </w:t>
      </w:r>
      <w:r w:rsidRPr="00CF7506">
        <w:rPr>
          <w:rFonts w:ascii="Times New Roman" w:hAnsi="Times New Roman"/>
          <w:bCs/>
          <w:sz w:val="24"/>
          <w:szCs w:val="24"/>
          <w:lang w:eastAsia="ru-RU"/>
        </w:rPr>
        <w:t>Макушинскому району</w:t>
      </w:r>
      <w:r w:rsidRPr="00CF7506">
        <w:rPr>
          <w:rFonts w:ascii="Times New Roman" w:hAnsi="Times New Roman"/>
          <w:sz w:val="24"/>
          <w:szCs w:val="24"/>
          <w:lang w:eastAsia="ru-RU"/>
        </w:rPr>
        <w:t xml:space="preserve"> бесплатная юридическая помощь оказывается адвокатом </w:t>
      </w:r>
      <w:r w:rsidRPr="00CF7506">
        <w:rPr>
          <w:rStyle w:val="Strong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Мальковым Сергеем Леонидовичем по адресу:</w:t>
      </w:r>
      <w:r w:rsidRPr="00CF7506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F7506">
        <w:rPr>
          <w:rFonts w:ascii="Times New Roman" w:hAnsi="Times New Roman"/>
          <w:sz w:val="24"/>
          <w:szCs w:val="24"/>
          <w:shd w:val="clear" w:color="auto" w:fill="FFFFFF"/>
        </w:rPr>
        <w:t xml:space="preserve">г. Макушино, </w:t>
      </w:r>
      <w:r w:rsidRPr="00CF7506">
        <w:rPr>
          <w:rFonts w:ascii="Arial" w:hAnsi="Arial" w:cs="Arial"/>
          <w:shd w:val="clear" w:color="auto" w:fill="FFFFFF"/>
        </w:rPr>
        <w:t>ул. Ленина, 116.</w:t>
      </w:r>
      <w:r w:rsidRPr="00CF7506">
        <w:rPr>
          <w:rFonts w:ascii="Times New Roman" w:hAnsi="Times New Roman"/>
          <w:sz w:val="24"/>
          <w:szCs w:val="24"/>
          <w:shd w:val="clear" w:color="auto" w:fill="FFFFFF"/>
        </w:rPr>
        <w:t xml:space="preserve">, телефон: </w:t>
      </w:r>
      <w:r w:rsidRPr="00CF75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8-909-176-37-19, эл. почта: </w:t>
      </w:r>
      <w:r w:rsidRPr="00CF7506">
        <w:rPr>
          <w:rFonts w:ascii="Times New Roman" w:hAnsi="Times New Roman"/>
          <w:sz w:val="24"/>
          <w:szCs w:val="24"/>
          <w:lang w:eastAsia="ru-RU"/>
        </w:rPr>
        <w:t>45.493@apko45.ru.</w:t>
      </w:r>
    </w:p>
    <w:p w:rsidR="00223C13" w:rsidRPr="00575A4B" w:rsidRDefault="00223C13" w:rsidP="00A30B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75A4B">
        <w:rPr>
          <w:rFonts w:ascii="Times New Roman" w:hAnsi="Times New Roman"/>
          <w:sz w:val="24"/>
          <w:szCs w:val="24"/>
          <w:lang w:eastAsia="ru-RU"/>
        </w:rPr>
        <w:t xml:space="preserve">Кроме того, в соответствии с Федеральным законом от 21 ноября 2011 года № 324-ФЗ «О бесплатной юридической помощи в Российской Федерации» нотариусы в рамках государственной системы бесплатной юридической помощи также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нотариате.Адрес Нотариальной палаты Курганской области: </w:t>
      </w:r>
      <w:r w:rsidRPr="0097126F">
        <w:rPr>
          <w:rFonts w:ascii="Times New Roman" w:hAnsi="Times New Roman"/>
          <w:sz w:val="24"/>
          <w:szCs w:val="24"/>
          <w:lang w:eastAsia="ru-RU"/>
        </w:rPr>
        <w:t xml:space="preserve">Курганская область, г. Курган, ул. Кравченко, д. 55.Телефон: 8 (3522) 22-25-37, 22-25-47.Время работы: понедельник-пятница с 09:00 до 17:00 (перерыв на обед с 13:00 до 14:00),суббота и воскресенье - выходные дни. В Макушинском нотариальном округе нотариусом является Вильцев Сергей Викторович, адрес: г. Макушино, ул. Д.Бедного, 47, телефон 8(35236)98397. Время работы: понедельник-пятница </w:t>
      </w:r>
      <w:r w:rsidRPr="0097126F">
        <w:rPr>
          <w:rFonts w:ascii="Times New Roman" w:hAnsi="Times New Roman"/>
          <w:bCs/>
          <w:sz w:val="24"/>
          <w:szCs w:val="24"/>
          <w:lang w:eastAsia="ru-RU"/>
        </w:rPr>
        <w:t>09:00 до 17:00</w:t>
      </w:r>
      <w:r w:rsidRPr="009712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97126F">
        <w:rPr>
          <w:rFonts w:ascii="Times New Roman" w:hAnsi="Times New Roman"/>
          <w:sz w:val="24"/>
          <w:szCs w:val="24"/>
          <w:lang w:eastAsia="ru-RU"/>
        </w:rPr>
        <w:t>(перерыв на обед с 13:00 до 14:00), суббота и воскресенье - выходные дни.</w:t>
      </w:r>
    </w:p>
    <w:p w:rsidR="00223C13" w:rsidRPr="00575A4B" w:rsidRDefault="00223C13" w:rsidP="000C2C8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75A4B">
        <w:rPr>
          <w:shd w:val="clear" w:color="auto" w:fill="FFFFFF"/>
        </w:rPr>
        <w:t>Для получения бесплатной юридической помощи по вопросам, относящимся к компетенции ГБУ «Межрайонная больница №1», то есть по вопросам организации оказания медицинской помощи непосредственно Больницей, граждане, входящие в приведенные выше категории, могу обратиться лично по адресу: 641600, г. Макушино,</w:t>
      </w:r>
      <w:r>
        <w:rPr>
          <w:shd w:val="clear" w:color="auto" w:fill="FFFFFF"/>
        </w:rPr>
        <w:t xml:space="preserve"> </w:t>
      </w:r>
      <w:r w:rsidRPr="00575A4B">
        <w:rPr>
          <w:shd w:val="clear" w:color="auto" w:fill="FFFFFF"/>
        </w:rPr>
        <w:t>ул. Красная Площадь, д.2, на прием к главному врачу (запись по тел. 8(35236)20241), или направить письменное обращение посредством почтовой связи на указанный адрес</w:t>
      </w:r>
      <w:r>
        <w:rPr>
          <w:shd w:val="clear" w:color="auto" w:fill="FFFFFF"/>
        </w:rPr>
        <w:t xml:space="preserve"> или на адрес электронной почты:</w:t>
      </w:r>
      <w:r w:rsidRPr="00575A4B">
        <w:rPr>
          <w:shd w:val="clear" w:color="auto" w:fill="FFFFFF"/>
        </w:rPr>
        <w:t xml:space="preserve"> </w:t>
      </w:r>
      <w:r w:rsidRPr="00575A4B">
        <w:rPr>
          <w:shd w:val="clear" w:color="auto" w:fill="FFFFFF"/>
          <w:lang w:val="en-US"/>
        </w:rPr>
        <w:t>makzrb</w:t>
      </w:r>
      <w:r w:rsidRPr="00575A4B">
        <w:rPr>
          <w:shd w:val="clear" w:color="auto" w:fill="FFFFFF"/>
        </w:rPr>
        <w:t>@</w:t>
      </w:r>
      <w:r w:rsidRPr="00575A4B">
        <w:rPr>
          <w:shd w:val="clear" w:color="auto" w:fill="FFFFFF"/>
          <w:lang w:val="en-US"/>
        </w:rPr>
        <w:t>yandex</w:t>
      </w:r>
      <w:r w:rsidRPr="00575A4B">
        <w:rPr>
          <w:shd w:val="clear" w:color="auto" w:fill="FFFFFF"/>
        </w:rPr>
        <w:t>.</w:t>
      </w:r>
      <w:r w:rsidRPr="00575A4B">
        <w:rPr>
          <w:shd w:val="clear" w:color="auto" w:fill="FFFFFF"/>
          <w:lang w:val="en-US"/>
        </w:rPr>
        <w:t>ru</w:t>
      </w:r>
      <w:r w:rsidRPr="00575A4B">
        <w:rPr>
          <w:shd w:val="clear" w:color="auto" w:fill="FFFFFF"/>
        </w:rPr>
        <w:t>.</w:t>
      </w:r>
    </w:p>
    <w:p w:rsidR="00223C13" w:rsidRPr="00575A4B" w:rsidRDefault="00223C13" w:rsidP="006C143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rebuchet MS" w:hAnsi="Trebuchet MS"/>
        </w:rPr>
      </w:pPr>
      <w:r w:rsidRPr="00575A4B">
        <w:rPr>
          <w:rFonts w:ascii="Trebuchet MS" w:hAnsi="Trebuchet MS"/>
        </w:rPr>
        <w:t> </w:t>
      </w:r>
      <w:bookmarkStart w:id="0" w:name="_GoBack"/>
      <w:bookmarkEnd w:id="0"/>
    </w:p>
    <w:p w:rsidR="00223C13" w:rsidRPr="00575A4B" w:rsidRDefault="00223C13" w:rsidP="00AD4B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23C13" w:rsidRPr="00575A4B" w:rsidSect="00575A4B">
      <w:pgSz w:w="11906" w:h="16838"/>
      <w:pgMar w:top="360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7C9"/>
    <w:rsid w:val="00026960"/>
    <w:rsid w:val="00043008"/>
    <w:rsid w:val="0008109B"/>
    <w:rsid w:val="000C2C81"/>
    <w:rsid w:val="001031CE"/>
    <w:rsid w:val="00122600"/>
    <w:rsid w:val="00197218"/>
    <w:rsid w:val="00197693"/>
    <w:rsid w:val="001A56A7"/>
    <w:rsid w:val="001A6C85"/>
    <w:rsid w:val="001B1815"/>
    <w:rsid w:val="001F29A1"/>
    <w:rsid w:val="00211199"/>
    <w:rsid w:val="00223C13"/>
    <w:rsid w:val="00225A58"/>
    <w:rsid w:val="002409B5"/>
    <w:rsid w:val="00240CF5"/>
    <w:rsid w:val="002D3C7E"/>
    <w:rsid w:val="00342C4D"/>
    <w:rsid w:val="00390154"/>
    <w:rsid w:val="004166F4"/>
    <w:rsid w:val="004613F5"/>
    <w:rsid w:val="004746F7"/>
    <w:rsid w:val="0050349B"/>
    <w:rsid w:val="00575A4B"/>
    <w:rsid w:val="005F0D49"/>
    <w:rsid w:val="00647056"/>
    <w:rsid w:val="006661B3"/>
    <w:rsid w:val="00694169"/>
    <w:rsid w:val="006C143F"/>
    <w:rsid w:val="006C3339"/>
    <w:rsid w:val="00730572"/>
    <w:rsid w:val="0078225A"/>
    <w:rsid w:val="007961E9"/>
    <w:rsid w:val="007F229A"/>
    <w:rsid w:val="008338FD"/>
    <w:rsid w:val="008B76CD"/>
    <w:rsid w:val="009316FE"/>
    <w:rsid w:val="0097126F"/>
    <w:rsid w:val="00992023"/>
    <w:rsid w:val="009E2E6B"/>
    <w:rsid w:val="009E57C8"/>
    <w:rsid w:val="00A30B4E"/>
    <w:rsid w:val="00AB5EDB"/>
    <w:rsid w:val="00AD4BA5"/>
    <w:rsid w:val="00B63B7D"/>
    <w:rsid w:val="00B844AC"/>
    <w:rsid w:val="00B97903"/>
    <w:rsid w:val="00BB5FCA"/>
    <w:rsid w:val="00BC223E"/>
    <w:rsid w:val="00BD1F19"/>
    <w:rsid w:val="00C1336C"/>
    <w:rsid w:val="00C15C42"/>
    <w:rsid w:val="00C17C17"/>
    <w:rsid w:val="00C25AE9"/>
    <w:rsid w:val="00CF7506"/>
    <w:rsid w:val="00CF77C9"/>
    <w:rsid w:val="00D271CA"/>
    <w:rsid w:val="00E074D5"/>
    <w:rsid w:val="00E52FCC"/>
    <w:rsid w:val="00E616A1"/>
    <w:rsid w:val="00E725B4"/>
    <w:rsid w:val="00ED2C22"/>
    <w:rsid w:val="00ED419F"/>
    <w:rsid w:val="00F323B9"/>
    <w:rsid w:val="00F341FD"/>
    <w:rsid w:val="00F601EB"/>
    <w:rsid w:val="00F83E16"/>
    <w:rsid w:val="00F9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3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33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38F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390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15C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122600"/>
    <w:rPr>
      <w:rFonts w:cs="Times New Roman"/>
      <w:b/>
      <w:bCs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1A56A7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1A56A7"/>
    <w:pPr>
      <w:widowControl w:val="0"/>
      <w:shd w:val="clear" w:color="auto" w:fill="FFFFFF"/>
      <w:spacing w:after="0" w:line="475" w:lineRule="exact"/>
      <w:jc w:val="center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rsid w:val="008B76C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6CD"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8338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F29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4</Pages>
  <Words>1639</Words>
  <Characters>9345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18</cp:revision>
  <cp:lastPrinted>2023-10-03T09:03:00Z</cp:lastPrinted>
  <dcterms:created xsi:type="dcterms:W3CDTF">2022-03-01T08:42:00Z</dcterms:created>
  <dcterms:modified xsi:type="dcterms:W3CDTF">2025-10-30T05:52:00Z</dcterms:modified>
</cp:coreProperties>
</file>